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227BC" w14:textId="77777777" w:rsidR="00405912" w:rsidRDefault="00405912" w:rsidP="00405912">
      <w:pPr>
        <w:jc w:val="center"/>
        <w:rPr>
          <w:sz w:val="36"/>
        </w:rPr>
      </w:pPr>
      <w:r>
        <w:rPr>
          <w:sz w:val="36"/>
        </w:rPr>
        <w:t>LUNCH WITH LITIGATORS – 5</w:t>
      </w:r>
    </w:p>
    <w:p w14:paraId="0A6B3437" w14:textId="77777777" w:rsidR="00405912" w:rsidRDefault="00405912" w:rsidP="00405912">
      <w:pPr>
        <w:jc w:val="center"/>
        <w:rPr>
          <w:sz w:val="36"/>
        </w:rPr>
      </w:pPr>
      <w:r>
        <w:rPr>
          <w:sz w:val="36"/>
        </w:rPr>
        <w:t>MONDAY NOVEMBER 7 in K1E</w:t>
      </w:r>
    </w:p>
    <w:p w14:paraId="4DBECF16" w14:textId="77777777" w:rsidR="00405912" w:rsidRDefault="00405912" w:rsidP="00405912">
      <w:pPr>
        <w:jc w:val="center"/>
        <w:rPr>
          <w:sz w:val="36"/>
        </w:rPr>
      </w:pPr>
      <w:r>
        <w:rPr>
          <w:sz w:val="36"/>
        </w:rPr>
        <w:t>PIZZA WILL BE PROVIDED</w:t>
      </w:r>
    </w:p>
    <w:p w14:paraId="2C1B662C" w14:textId="77777777" w:rsidR="00405912" w:rsidRDefault="00405912" w:rsidP="00405912">
      <w:pPr>
        <w:rPr>
          <w:sz w:val="36"/>
        </w:rPr>
      </w:pPr>
    </w:p>
    <w:p w14:paraId="322B5E08" w14:textId="77777777" w:rsidR="00405912" w:rsidRPr="00935768" w:rsidRDefault="00405912" w:rsidP="00405912">
      <w:pPr>
        <w:rPr>
          <w:rFonts w:cstheme="minorHAnsi"/>
          <w:sz w:val="28"/>
          <w:szCs w:val="28"/>
        </w:rPr>
      </w:pPr>
      <w:r>
        <w:rPr>
          <w:sz w:val="28"/>
        </w:rPr>
        <w:t>Our two speakers will be:</w:t>
      </w:r>
    </w:p>
    <w:p w14:paraId="44C32DA6" w14:textId="77777777" w:rsidR="00405912" w:rsidRPr="00935768" w:rsidRDefault="00405912" w:rsidP="00405912">
      <w:pPr>
        <w:rPr>
          <w:rFonts w:cstheme="minorHAnsi"/>
          <w:sz w:val="28"/>
          <w:szCs w:val="28"/>
        </w:rPr>
      </w:pPr>
    </w:p>
    <w:p w14:paraId="0EBB23DB" w14:textId="77777777" w:rsidR="00405912" w:rsidRPr="00935768" w:rsidRDefault="00405912" w:rsidP="00405912">
      <w:pPr>
        <w:pStyle w:val="NormalWeb"/>
        <w:rPr>
          <w:rFonts w:asciiTheme="minorHAnsi" w:hAnsiTheme="minorHAnsi" w:cstheme="minorHAnsi"/>
          <w:sz w:val="28"/>
          <w:szCs w:val="28"/>
        </w:rPr>
      </w:pPr>
      <w:r w:rsidRPr="00935768">
        <w:rPr>
          <w:rFonts w:asciiTheme="minorHAnsi" w:hAnsiTheme="minorHAnsi" w:cstheme="minorHAnsi"/>
          <w:b/>
          <w:sz w:val="28"/>
          <w:szCs w:val="28"/>
        </w:rPr>
        <w:t>Kila Baldwin</w:t>
      </w:r>
      <w:r w:rsidRPr="00935768">
        <w:rPr>
          <w:rFonts w:asciiTheme="minorHAnsi" w:hAnsiTheme="minorHAnsi" w:cstheme="minorHAnsi"/>
          <w:sz w:val="28"/>
          <w:szCs w:val="28"/>
        </w:rPr>
        <w:t xml:space="preserve"> is the founding partner of Baldwin </w:t>
      </w:r>
      <w:proofErr w:type="spellStart"/>
      <w:r w:rsidRPr="00935768">
        <w:rPr>
          <w:rFonts w:asciiTheme="minorHAnsi" w:hAnsiTheme="minorHAnsi" w:cstheme="minorHAnsi"/>
          <w:sz w:val="28"/>
          <w:szCs w:val="28"/>
        </w:rPr>
        <w:t>Matzus</w:t>
      </w:r>
      <w:proofErr w:type="spellEnd"/>
      <w:r w:rsidRPr="00935768">
        <w:rPr>
          <w:rFonts w:asciiTheme="minorHAnsi" w:hAnsiTheme="minorHAnsi" w:cstheme="minorHAnsi"/>
          <w:sz w:val="28"/>
          <w:szCs w:val="28"/>
        </w:rPr>
        <w:t xml:space="preserve">, LLC, a catastrophic injury firm with offices in both Philadelphia and Pittsburgh.  In her career, Baldwin has been involved in a number of </w:t>
      </w:r>
      <w:hyperlink r:id="rId8" w:history="1">
        <w:r w:rsidRPr="00935768">
          <w:rPr>
            <w:rStyle w:val="Hyperlink"/>
            <w:rFonts w:asciiTheme="minorHAnsi" w:hAnsiTheme="minorHAnsi" w:cstheme="minorHAnsi"/>
            <w:sz w:val="28"/>
            <w:szCs w:val="28"/>
          </w:rPr>
          <w:t>high-profile cases</w:t>
        </w:r>
      </w:hyperlink>
      <w:r w:rsidRPr="00935768">
        <w:rPr>
          <w:rFonts w:asciiTheme="minorHAnsi" w:hAnsiTheme="minorHAnsi" w:cstheme="minorHAnsi"/>
          <w:sz w:val="28"/>
          <w:szCs w:val="28"/>
        </w:rPr>
        <w:t>, including as lead counsel in trials that resulted in verdicts of $80 million, $57.1 million, and $41 million against Johnson &amp; Johnson in transvaginal mesh cases.</w:t>
      </w:r>
    </w:p>
    <w:p w14:paraId="3C5B4746" w14:textId="77777777" w:rsidR="00405912" w:rsidRPr="00935768" w:rsidRDefault="00405912" w:rsidP="00405912">
      <w:pPr>
        <w:pStyle w:val="NormalWeb"/>
        <w:rPr>
          <w:rFonts w:asciiTheme="minorHAnsi" w:hAnsiTheme="minorHAnsi" w:cstheme="minorHAnsi"/>
          <w:sz w:val="28"/>
          <w:szCs w:val="28"/>
        </w:rPr>
      </w:pPr>
      <w:r w:rsidRPr="00935768">
        <w:rPr>
          <w:rFonts w:asciiTheme="minorHAnsi" w:hAnsiTheme="minorHAnsi" w:cstheme="minorHAnsi"/>
          <w:sz w:val="28"/>
          <w:szCs w:val="28"/>
        </w:rPr>
        <w:t>Baldwin was selected as a Pennsylvania Super Lawyer for 2019, 2020, 2021, and 2022. From 2011-2018 she was named a Pennsylvania Super Lawyer Rising Star and from 2014-2019 as a New Jersey Super Lawyer Rising Star, designating her as among the top 2.5 percent of attorneys in the two states who are 40 or younger. She also was selected for the 2017 – 2021 editions of the peer-review publication Best Lawyers in America.</w:t>
      </w:r>
    </w:p>
    <w:p w14:paraId="14CA238C" w14:textId="77777777" w:rsidR="00405912" w:rsidRPr="00935768" w:rsidRDefault="00405912" w:rsidP="00405912">
      <w:pPr>
        <w:pStyle w:val="NormalWeb"/>
        <w:rPr>
          <w:rFonts w:asciiTheme="minorHAnsi" w:hAnsiTheme="minorHAnsi" w:cstheme="minorHAnsi"/>
          <w:sz w:val="28"/>
          <w:szCs w:val="28"/>
        </w:rPr>
      </w:pPr>
      <w:r w:rsidRPr="00935768">
        <w:rPr>
          <w:rFonts w:asciiTheme="minorHAnsi" w:hAnsiTheme="minorHAnsi" w:cstheme="minorHAnsi"/>
          <w:sz w:val="28"/>
          <w:szCs w:val="28"/>
        </w:rPr>
        <w:t xml:space="preserve">In her most recent case, Baldwin was co-lead counsel at a trial that resulted in a $9.7 million verdict — nearly $11.6 million with prejudgment interest — against a neurosurgeon and Thomas Jefferson University Hospital for a patient who suffered brain damage during surgery. Before that, she achieved a $12.75 million settlement with </w:t>
      </w:r>
      <w:proofErr w:type="spellStart"/>
      <w:r w:rsidRPr="00935768">
        <w:rPr>
          <w:rFonts w:asciiTheme="minorHAnsi" w:hAnsiTheme="minorHAnsi" w:cstheme="minorHAnsi"/>
          <w:sz w:val="28"/>
          <w:szCs w:val="28"/>
        </w:rPr>
        <w:t>Monteris</w:t>
      </w:r>
      <w:proofErr w:type="spellEnd"/>
      <w:r w:rsidRPr="00935768">
        <w:rPr>
          <w:rFonts w:asciiTheme="minorHAnsi" w:hAnsiTheme="minorHAnsi" w:cstheme="minorHAnsi"/>
          <w:sz w:val="28"/>
          <w:szCs w:val="28"/>
        </w:rPr>
        <w:t xml:space="preserve"> Medical Inc., the maker of a defective medical device that broke during the same surgery to remove a benign brain tumor. </w:t>
      </w:r>
    </w:p>
    <w:p w14:paraId="29C2608B" w14:textId="77777777" w:rsidR="00405912" w:rsidRPr="00935768" w:rsidRDefault="00405912" w:rsidP="00405912">
      <w:pPr>
        <w:pStyle w:val="NormalWeb"/>
        <w:rPr>
          <w:rFonts w:asciiTheme="minorHAnsi" w:hAnsiTheme="minorHAnsi" w:cstheme="minorHAnsi"/>
          <w:sz w:val="28"/>
          <w:szCs w:val="28"/>
        </w:rPr>
      </w:pPr>
      <w:r w:rsidRPr="00935768">
        <w:rPr>
          <w:rFonts w:asciiTheme="minorHAnsi" w:hAnsiTheme="minorHAnsi" w:cstheme="minorHAnsi"/>
          <w:sz w:val="28"/>
          <w:szCs w:val="28"/>
        </w:rPr>
        <w:t>Baldwin earned a dual J.D./M.B.A. from the Temple University Beasley School of Law, where she was awarded the Beasley Scholarship and two awards for Outstanding Oral Advocacy. While at Temple she studied international law in Rome and was a member of the International Law Society and the Woman’s Law Caucus. Later, while a practicing attorney, she again attended Temple and graduated in 2010 from the LL.M. Program in Trial Advocacy, where she subsequently was appointed an adjunct lecturer.</w:t>
      </w:r>
    </w:p>
    <w:p w14:paraId="20FE6E31" w14:textId="77777777" w:rsidR="00405912" w:rsidRPr="00935768" w:rsidRDefault="00405912" w:rsidP="00405912">
      <w:pPr>
        <w:pStyle w:val="NormalWeb"/>
        <w:rPr>
          <w:rFonts w:asciiTheme="minorHAnsi" w:hAnsiTheme="minorHAnsi" w:cstheme="minorHAnsi"/>
          <w:sz w:val="28"/>
          <w:szCs w:val="28"/>
        </w:rPr>
      </w:pPr>
      <w:r w:rsidRPr="00935768">
        <w:rPr>
          <w:rFonts w:asciiTheme="minorHAnsi" w:hAnsiTheme="minorHAnsi" w:cstheme="minorHAnsi"/>
          <w:sz w:val="28"/>
          <w:szCs w:val="28"/>
        </w:rPr>
        <w:lastRenderedPageBreak/>
        <w:t>Baldwin is the President of the Pennsylvania Association for Justice (PAJ), previously having served as parliamentarian, secretary, treasurer, and vice president of the 18,000-member organization. She is also a board member of the Philadelphia Trial Lawyers Association and the Attorneys Information Exchange Group, a national litigation organization for attorneys handling vehicle defect and transportation-related accident cases.</w:t>
      </w:r>
    </w:p>
    <w:p w14:paraId="5BD62265" w14:textId="77777777" w:rsidR="00405912" w:rsidRPr="00935768" w:rsidRDefault="00405912" w:rsidP="00405912">
      <w:pPr>
        <w:pStyle w:val="NormalWeb"/>
        <w:rPr>
          <w:rFonts w:asciiTheme="minorHAnsi" w:hAnsiTheme="minorHAnsi" w:cstheme="minorHAnsi"/>
          <w:sz w:val="28"/>
          <w:szCs w:val="28"/>
        </w:rPr>
      </w:pPr>
      <w:r w:rsidRPr="00935768">
        <w:rPr>
          <w:rFonts w:asciiTheme="minorHAnsi" w:hAnsiTheme="minorHAnsi" w:cstheme="minorHAnsi"/>
          <w:b/>
          <w:sz w:val="28"/>
          <w:szCs w:val="28"/>
        </w:rPr>
        <w:t xml:space="preserve">Ken Fulginiti: 100% </w:t>
      </w:r>
      <w:r w:rsidRPr="00935768">
        <w:rPr>
          <w:rFonts w:asciiTheme="minorHAnsi" w:hAnsiTheme="minorHAnsi" w:cstheme="minorHAnsi"/>
          <w:sz w:val="28"/>
          <w:szCs w:val="28"/>
        </w:rPr>
        <w:t xml:space="preserve">of Ken's practice is dedicated to helping individuals and families who are the victims of catastrophic injury. Ken is grateful to have been involved in the resolution of many seven and eight figure cases that have provided the financial security his clients have needed when tragedy hits. In 2018, Ken secured the largest general liability settlement for a minor in Pennsylvania history. </w:t>
      </w:r>
    </w:p>
    <w:p w14:paraId="40F2594E" w14:textId="77777777" w:rsidR="00405912" w:rsidRPr="00405912" w:rsidRDefault="00405912" w:rsidP="00405912">
      <w:pPr>
        <w:spacing w:before="100" w:beforeAutospacing="1" w:after="100" w:afterAutospacing="1" w:line="240" w:lineRule="auto"/>
        <w:rPr>
          <w:rFonts w:eastAsia="Times New Roman" w:cstheme="minorHAnsi"/>
          <w:sz w:val="28"/>
          <w:szCs w:val="28"/>
        </w:rPr>
      </w:pPr>
      <w:r w:rsidRPr="00405912">
        <w:rPr>
          <w:rFonts w:eastAsia="Times New Roman" w:cstheme="minorHAnsi"/>
          <w:sz w:val="28"/>
          <w:szCs w:val="28"/>
        </w:rPr>
        <w:t xml:space="preserve">He and his firm have also actively assisted the victims of accidents by not only aggressively pursuing cases against national and international companies, their insurance carriers, and law firms, but by providing sponsorship and charitable assistance to such activities as wheelchair sports, and other fundraising events. </w:t>
      </w:r>
    </w:p>
    <w:p w14:paraId="2C58CC4B" w14:textId="77777777" w:rsidR="00405912" w:rsidRPr="00405912" w:rsidRDefault="00405912" w:rsidP="00405912">
      <w:pPr>
        <w:spacing w:before="100" w:beforeAutospacing="1" w:after="100" w:afterAutospacing="1" w:line="240" w:lineRule="auto"/>
        <w:rPr>
          <w:rFonts w:eastAsia="Times New Roman" w:cstheme="minorHAnsi"/>
          <w:sz w:val="28"/>
          <w:szCs w:val="28"/>
        </w:rPr>
      </w:pPr>
      <w:r w:rsidRPr="00405912">
        <w:rPr>
          <w:rFonts w:eastAsia="Times New Roman" w:cstheme="minorHAnsi"/>
          <w:sz w:val="28"/>
          <w:szCs w:val="28"/>
        </w:rPr>
        <w:t xml:space="preserve">Ken's primary focus within his practice includes handling cases involving personal and catastrophic injury caused by products liability (defects), premises liability, construction/industrial accidents and motor vehicle/trucking accidents. The complexity of some of these cases is compounded by the </w:t>
      </w:r>
      <w:proofErr w:type="gramStart"/>
      <w:r w:rsidRPr="00405912">
        <w:rPr>
          <w:rFonts w:eastAsia="Times New Roman" w:cstheme="minorHAnsi"/>
          <w:sz w:val="28"/>
          <w:szCs w:val="28"/>
        </w:rPr>
        <w:t>often obstructive</w:t>
      </w:r>
      <w:proofErr w:type="gramEnd"/>
      <w:r w:rsidRPr="00405912">
        <w:rPr>
          <w:rFonts w:eastAsia="Times New Roman" w:cstheme="minorHAnsi"/>
          <w:sz w:val="28"/>
          <w:szCs w:val="28"/>
        </w:rPr>
        <w:t xml:space="preserve"> positions taken by the defense in these larger matters. Ken's hands-on approach, from accident scene analysis, electronic data review, engineering research, and forensic evaluation and testing, has provided invaluable insight during discovery and trial. He carries an OSHA 10 certification in occupational and workplace safety. </w:t>
      </w:r>
    </w:p>
    <w:p w14:paraId="65A2339C" w14:textId="77777777" w:rsidR="00405912" w:rsidRPr="00405912" w:rsidRDefault="00405912" w:rsidP="00405912">
      <w:pPr>
        <w:spacing w:before="100" w:beforeAutospacing="1" w:after="100" w:afterAutospacing="1" w:line="240" w:lineRule="auto"/>
        <w:rPr>
          <w:rFonts w:eastAsia="Times New Roman" w:cstheme="minorHAnsi"/>
          <w:sz w:val="28"/>
          <w:szCs w:val="28"/>
        </w:rPr>
      </w:pPr>
      <w:r w:rsidRPr="00405912">
        <w:rPr>
          <w:rFonts w:eastAsia="Times New Roman" w:cstheme="minorHAnsi"/>
          <w:sz w:val="28"/>
          <w:szCs w:val="28"/>
        </w:rPr>
        <w:t xml:space="preserve">Ken is included annually in the list of Pennsylvania Super Lawyers, has been given the highest possible ranking by Martindale-Hubbell, an attorney ratings service that evaluates lawyers based on reviews by their peers in the industry, and in 2022 was named the “Lawyer of the Year” for Plaintiffs Personal Injury Litigation in Philadelphia by The Best Lawyers in America. </w:t>
      </w:r>
    </w:p>
    <w:p w14:paraId="1AA2C3C3" w14:textId="77777777" w:rsidR="00405912" w:rsidRPr="00405912" w:rsidRDefault="00405912" w:rsidP="00405912">
      <w:pPr>
        <w:spacing w:before="100" w:beforeAutospacing="1" w:after="100" w:afterAutospacing="1" w:line="240" w:lineRule="auto"/>
        <w:outlineLvl w:val="2"/>
        <w:rPr>
          <w:rFonts w:eastAsia="Times New Roman" w:cstheme="minorHAnsi"/>
          <w:b/>
          <w:bCs/>
          <w:sz w:val="28"/>
          <w:szCs w:val="28"/>
        </w:rPr>
      </w:pPr>
      <w:r w:rsidRPr="00405912">
        <w:rPr>
          <w:rFonts w:eastAsia="Times New Roman" w:cstheme="minorHAnsi"/>
          <w:b/>
          <w:bCs/>
          <w:sz w:val="28"/>
          <w:szCs w:val="28"/>
        </w:rPr>
        <w:t>Education</w:t>
      </w:r>
    </w:p>
    <w:p w14:paraId="713CCC61" w14:textId="77777777" w:rsidR="00405912" w:rsidRPr="00405912" w:rsidRDefault="00405912" w:rsidP="00405912">
      <w:pPr>
        <w:numPr>
          <w:ilvl w:val="0"/>
          <w:numId w:val="1"/>
        </w:numPr>
        <w:spacing w:before="100" w:beforeAutospacing="1" w:after="100" w:afterAutospacing="1" w:line="240" w:lineRule="auto"/>
        <w:rPr>
          <w:rFonts w:eastAsia="Times New Roman" w:cstheme="minorHAnsi"/>
          <w:sz w:val="28"/>
          <w:szCs w:val="28"/>
        </w:rPr>
      </w:pPr>
      <w:r w:rsidRPr="00405912">
        <w:rPr>
          <w:rFonts w:eastAsia="Times New Roman" w:cstheme="minorHAnsi"/>
          <w:sz w:val="28"/>
          <w:szCs w:val="28"/>
        </w:rPr>
        <w:t>University of Delaware (B.S.B.A.)</w:t>
      </w:r>
    </w:p>
    <w:p w14:paraId="5BCC1C96" w14:textId="146F8835" w:rsidR="00405912" w:rsidRPr="00935768" w:rsidRDefault="00405912" w:rsidP="005326E1">
      <w:pPr>
        <w:numPr>
          <w:ilvl w:val="0"/>
          <w:numId w:val="1"/>
        </w:numPr>
        <w:spacing w:before="100" w:beforeAutospacing="1" w:after="100" w:afterAutospacing="1" w:line="240" w:lineRule="auto"/>
        <w:rPr>
          <w:sz w:val="28"/>
        </w:rPr>
      </w:pPr>
      <w:r w:rsidRPr="00405912">
        <w:rPr>
          <w:rFonts w:eastAsia="Times New Roman" w:cstheme="minorHAnsi"/>
          <w:sz w:val="28"/>
          <w:szCs w:val="28"/>
        </w:rPr>
        <w:t>Villanova University School of Law (J.D.)</w:t>
      </w:r>
    </w:p>
    <w:sectPr w:rsidR="00405912" w:rsidRPr="009357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4506A"/>
    <w:multiLevelType w:val="multilevel"/>
    <w:tmpl w:val="5328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4851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912"/>
    <w:rsid w:val="00405912"/>
    <w:rsid w:val="00621388"/>
    <w:rsid w:val="00935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7F17D"/>
  <w15:chartTrackingRefBased/>
  <w15:docId w15:val="{0D6C3055-5BF6-4364-AEED-4A351E22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059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59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05912"/>
    <w:rPr>
      <w:color w:val="0000FF"/>
      <w:u w:val="single"/>
    </w:rPr>
  </w:style>
  <w:style w:type="character" w:customStyle="1" w:styleId="Heading3Char">
    <w:name w:val="Heading 3 Char"/>
    <w:basedOn w:val="DefaultParagraphFont"/>
    <w:link w:val="Heading3"/>
    <w:uiPriority w:val="9"/>
    <w:rsid w:val="00405912"/>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962320">
      <w:bodyDiv w:val="1"/>
      <w:marLeft w:val="0"/>
      <w:marRight w:val="0"/>
      <w:marTop w:val="0"/>
      <w:marBottom w:val="0"/>
      <w:divBdr>
        <w:top w:val="none" w:sz="0" w:space="0" w:color="auto"/>
        <w:left w:val="none" w:sz="0" w:space="0" w:color="auto"/>
        <w:bottom w:val="none" w:sz="0" w:space="0" w:color="auto"/>
        <w:right w:val="none" w:sz="0" w:space="0" w:color="auto"/>
      </w:divBdr>
      <w:divsChild>
        <w:div w:id="1830057911">
          <w:marLeft w:val="0"/>
          <w:marRight w:val="0"/>
          <w:marTop w:val="0"/>
          <w:marBottom w:val="0"/>
          <w:divBdr>
            <w:top w:val="none" w:sz="0" w:space="0" w:color="auto"/>
            <w:left w:val="none" w:sz="0" w:space="0" w:color="auto"/>
            <w:bottom w:val="none" w:sz="0" w:space="0" w:color="auto"/>
            <w:right w:val="none" w:sz="0" w:space="0" w:color="auto"/>
          </w:divBdr>
        </w:div>
      </w:divsChild>
    </w:div>
    <w:div w:id="450131892">
      <w:bodyDiv w:val="1"/>
      <w:marLeft w:val="0"/>
      <w:marRight w:val="0"/>
      <w:marTop w:val="0"/>
      <w:marBottom w:val="0"/>
      <w:divBdr>
        <w:top w:val="none" w:sz="0" w:space="0" w:color="auto"/>
        <w:left w:val="none" w:sz="0" w:space="0" w:color="auto"/>
        <w:bottom w:val="none" w:sz="0" w:space="0" w:color="auto"/>
        <w:right w:val="none" w:sz="0" w:space="0" w:color="auto"/>
      </w:divBdr>
    </w:div>
    <w:div w:id="196997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ldwinmatzus.com/case-result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DF1C1147E6F44F8CD35B7038471988" ma:contentTypeVersion="14" ma:contentTypeDescription="Create a new document." ma:contentTypeScope="" ma:versionID="df16dcba3d1944baff88d818cd0c6d56">
  <xsd:schema xmlns:xsd="http://www.w3.org/2001/XMLSchema" xmlns:xs="http://www.w3.org/2001/XMLSchema" xmlns:p="http://schemas.microsoft.com/office/2006/metadata/properties" xmlns:ns3="57569264-2e94-4aa7-912d-f3a216f3629f" xmlns:ns4="54d84c42-d0ea-4e27-b9f6-f43b5211c5f4" targetNamespace="http://schemas.microsoft.com/office/2006/metadata/properties" ma:root="true" ma:fieldsID="012d4759f628763179d255abebacfe62" ns3:_="" ns4:_="">
    <xsd:import namespace="57569264-2e94-4aa7-912d-f3a216f3629f"/>
    <xsd:import namespace="54d84c42-d0ea-4e27-b9f6-f43b5211c5f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69264-2e94-4aa7-912d-f3a216f36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84c42-d0ea-4e27-b9f6-f43b5211c5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D9BD36-FB9E-4087-9AC9-738FA8EE74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F1F79A-A0E2-47B6-82A8-3A7816E51AF9}">
  <ds:schemaRefs>
    <ds:schemaRef ds:uri="http://schemas.microsoft.com/sharepoint/v3/contenttype/forms"/>
  </ds:schemaRefs>
</ds:datastoreItem>
</file>

<file path=customXml/itemProps3.xml><?xml version="1.0" encoding="utf-8"?>
<ds:datastoreItem xmlns:ds="http://schemas.openxmlformats.org/officeDocument/2006/customXml" ds:itemID="{1CAA46D9-1FED-44C2-9B98-F23E59B00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69264-2e94-4aa7-912d-f3a216f3629f"/>
    <ds:schemaRef ds:uri="54d84c42-d0ea-4e27-b9f6-f43b5211c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 M Epstein (hehimhis)</dc:creator>
  <cp:keywords/>
  <dc:description/>
  <cp:lastModifiedBy>Noeleen R. Urmson</cp:lastModifiedBy>
  <cp:revision>2</cp:revision>
  <dcterms:created xsi:type="dcterms:W3CDTF">2022-10-28T13:24:00Z</dcterms:created>
  <dcterms:modified xsi:type="dcterms:W3CDTF">2022-10-28T13:24:00Z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0x0101003EDF1C1147E6F44F8CD35B7038471988</vt:lpwstr>
  </property>
</Properties>
</file>